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jc w:val="center"/>
      </w:pPr>
      <w:r>
        <w:rPr>
          <w:rFonts w:ascii="Times New Roman" w:cs="Times New Roman" w:eastAsia="Times New Roman" w:hAnsi="Times New Roman"/>
          <w:b/>
          <w:bCs/>
          <w:sz w:val="24"/>
          <w:szCs w:val="24"/>
        </w:rPr>
        <w:t xml:space="preserve">TOKAT GAZİOSMANPAŞA UNIVERSITY</w:t>
      </w:r>
    </w:p>
    <w:p>
      <w:pPr>
        <w:spacing w:after="120" w:line="276"/>
        <w:jc w:val="center"/>
      </w:pPr>
      <w:r>
        <w:rPr>
          <w:rFonts w:ascii="Times New Roman" w:cs="Times New Roman" w:eastAsia="Times New Roman" w:hAnsi="Times New Roman"/>
          <w:b/>
          <w:bCs/>
          <w:sz w:val="24"/>
          <w:szCs w:val="24"/>
        </w:rPr>
        <w:t xml:space="preserve">IMPLEMENTATION DIRECTIVE OF THE COORDINATORSHIP</w:t>
      </w:r>
    </w:p>
    <w:p>
      <w:pPr>
        <w:spacing w:after="120" w:line="276"/>
        <w:jc w:val="center"/>
      </w:pPr>
      <w:r>
        <w:rPr>
          <w:rFonts w:ascii="Times New Roman" w:cs="Times New Roman" w:eastAsia="Times New Roman" w:hAnsi="Times New Roman"/>
          <w:b/>
          <w:bCs/>
          <w:sz w:val="24"/>
          <w:szCs w:val="24"/>
        </w:rPr>
        <w:t xml:space="preserve">FOR THE TRAINING OF TRAINERS</w:t>
      </w:r>
    </w:p>
    <w:p>
      <w:pPr>
        <w:pStyle w:val="Heading1"/>
        <w:spacing w:after="60" w:before="360" w:line="276"/>
        <w:jc w:val="center"/>
        <w:outlineLvl w:val="0"/>
      </w:pPr>
      <w:r>
        <w:rPr>
          <w:rFonts w:ascii="Times New Roman" w:cs="Times New Roman" w:eastAsia="Times New Roman" w:hAnsi="Times New Roman"/>
          <w:b/>
          <w:bCs/>
          <w:sz w:val="24"/>
          <w:szCs w:val="24"/>
        </w:rPr>
        <w:t xml:space="preserve">CHAPTER ONE</w:t>
      </w:r>
    </w:p>
    <w:p>
      <w:pPr>
        <w:spacing w:after="200" w:line="276"/>
        <w:jc w:val="center"/>
      </w:pPr>
      <w:r>
        <w:rPr>
          <w:rFonts w:ascii="Times New Roman" w:cs="Times New Roman" w:eastAsia="Times New Roman" w:hAnsi="Times New Roman"/>
          <w:b/>
          <w:bCs/>
          <w:sz w:val="24"/>
          <w:szCs w:val="24"/>
        </w:rPr>
        <w:t xml:space="preserve">Purpose, Scope, Legal Basis and Definitions</w:t>
      </w:r>
    </w:p>
    <w:p>
      <w:pPr>
        <w:pStyle w:val="Heading2"/>
        <w:spacing w:after="60" w:before="240" w:line="276"/>
        <w:outlineLvl w:val="1"/>
      </w:pPr>
      <w:r>
        <w:rPr>
          <w:rFonts w:ascii="Times New Roman" w:cs="Times New Roman" w:eastAsia="Times New Roman" w:hAnsi="Times New Roman"/>
          <w:b/>
          <w:bCs/>
          <w:sz w:val="24"/>
          <w:szCs w:val="24"/>
        </w:rPr>
        <w:t xml:space="preserve">Purpose and Scope</w:t>
      </w:r>
    </w:p>
    <w:p>
      <w:pPr>
        <w:spacing w:after="120" w:line="276"/>
        <w:jc w:val="both"/>
      </w:pPr>
      <w:r>
        <w:rPr>
          <w:rFonts w:ascii="Times New Roman" w:cs="Times New Roman" w:eastAsia="Times New Roman" w:hAnsi="Times New Roman"/>
          <w:b/>
          <w:bCs/>
          <w:sz w:val="24"/>
          <w:szCs w:val="24"/>
        </w:rPr>
        <w:t xml:space="preserve">Article 1 –</w:t>
      </w:r>
      <w:r>
        <w:rPr>
          <w:rFonts w:ascii="Times New Roman" w:cs="Times New Roman" w:eastAsia="Times New Roman" w:hAnsi="Times New Roman"/>
          <w:sz w:val="24"/>
          <w:szCs w:val="24"/>
        </w:rPr>
        <w:t xml:space="preserve"> The purpose of this Directive is to define the arrangements concerning the training programmes to be organised in order to provide the teaching staff of Tokat Gaziosmanpaşa University with trainer competence (knowledge, skills, attitudes and behaviour) of a standard that enables them to plan and conduct educational programmes in accordance with prevailing quality standards and with the criteria envisaged by the Higher Education Quality Council, and in order to certify such competence. It also defines the characteristics of the trainers, of the learning environment and of the programme content relating to the Trainer Training programmes to be organised.</w:t>
      </w:r>
    </w:p>
    <w:p>
      <w:pPr>
        <w:pStyle w:val="Heading2"/>
        <w:spacing w:after="60" w:before="240" w:line="276"/>
        <w:outlineLvl w:val="1"/>
      </w:pPr>
      <w:r>
        <w:rPr>
          <w:rFonts w:ascii="Times New Roman" w:cs="Times New Roman" w:eastAsia="Times New Roman" w:hAnsi="Times New Roman"/>
          <w:b/>
          <w:bCs/>
          <w:sz w:val="24"/>
          <w:szCs w:val="24"/>
        </w:rPr>
        <w:t xml:space="preserve">Legal Basis</w:t>
      </w:r>
    </w:p>
    <w:p>
      <w:pPr>
        <w:spacing w:after="120" w:line="276"/>
        <w:jc w:val="both"/>
      </w:pPr>
      <w:r>
        <w:rPr>
          <w:rFonts w:ascii="Times New Roman" w:cs="Times New Roman" w:eastAsia="Times New Roman" w:hAnsi="Times New Roman"/>
          <w:b/>
          <w:bCs/>
          <w:sz w:val="24"/>
          <w:szCs w:val="24"/>
        </w:rPr>
        <w:t xml:space="preserve">Article 2 –</w:t>
      </w:r>
      <w:r>
        <w:rPr>
          <w:rFonts w:ascii="Times New Roman" w:cs="Times New Roman" w:eastAsia="Times New Roman" w:hAnsi="Times New Roman"/>
          <w:sz w:val="24"/>
          <w:szCs w:val="24"/>
        </w:rPr>
        <w:t xml:space="preserve"> This Directive has been prepared on the basis of the Higher Education Quality Assurance Regulation and Article 14 of Higher Education Law No. 2547.</w:t>
      </w:r>
    </w:p>
    <w:p>
      <w:pPr>
        <w:pStyle w:val="Heading2"/>
        <w:spacing w:after="60" w:before="240" w:line="276"/>
        <w:outlineLvl w:val="1"/>
      </w:pPr>
      <w:r>
        <w:rPr>
          <w:rFonts w:ascii="Times New Roman" w:cs="Times New Roman" w:eastAsia="Times New Roman" w:hAnsi="Times New Roman"/>
          <w:b/>
          <w:bCs/>
          <w:sz w:val="24"/>
          <w:szCs w:val="24"/>
        </w:rPr>
        <w:t xml:space="preserve">Definitions</w:t>
      </w:r>
    </w:p>
    <w:p>
      <w:pPr>
        <w:spacing w:after="120" w:line="276"/>
        <w:jc w:val="both"/>
      </w:pPr>
      <w:r>
        <w:rPr>
          <w:rFonts w:ascii="Times New Roman" w:cs="Times New Roman" w:eastAsia="Times New Roman" w:hAnsi="Times New Roman"/>
          <w:b/>
          <w:bCs/>
          <w:sz w:val="24"/>
          <w:szCs w:val="24"/>
        </w:rPr>
        <w:t xml:space="preserve">Article 3 –</w:t>
      </w:r>
      <w:r>
        <w:rPr>
          <w:rFonts w:ascii="Times New Roman" w:cs="Times New Roman" w:eastAsia="Times New Roman" w:hAnsi="Times New Roman"/>
          <w:sz w:val="24"/>
          <w:szCs w:val="24"/>
        </w:rPr>
        <w:t xml:space="preserve"> For the purposes of this Directive:</w:t>
      </w:r>
    </w:p>
    <w:p>
      <w:pPr>
        <w:spacing w:after="120" w:line="276"/>
        <w:ind w:left="567"/>
        <w:jc w:val="both"/>
      </w:pPr>
      <w:r>
        <w:rPr>
          <w:rFonts w:ascii="Times New Roman" w:cs="Times New Roman" w:eastAsia="Times New Roman" w:hAnsi="Times New Roman"/>
          <w:b/>
          <w:bCs/>
          <w:sz w:val="24"/>
          <w:szCs w:val="24"/>
        </w:rPr>
        <w:t xml:space="preserve">Certificate of Achievement:</w:t>
      </w:r>
      <w:r>
        <w:rPr>
          <w:rFonts w:ascii="Times New Roman" w:cs="Times New Roman" w:eastAsia="Times New Roman" w:hAnsi="Times New Roman"/>
          <w:sz w:val="24"/>
          <w:szCs w:val="24"/>
        </w:rPr>
        <w:t xml:space="preserve"> means the certificate to be awarded to participants who attend the training of trainers programme and complete it successfully;</w:t>
      </w:r>
    </w:p>
    <w:p>
      <w:pPr>
        <w:spacing w:after="120" w:line="276"/>
        <w:ind w:left="567"/>
        <w:jc w:val="both"/>
      </w:pPr>
      <w:r>
        <w:rPr>
          <w:rFonts w:ascii="Times New Roman" w:cs="Times New Roman" w:eastAsia="Times New Roman" w:hAnsi="Times New Roman"/>
          <w:b/>
          <w:bCs/>
          <w:sz w:val="24"/>
          <w:szCs w:val="24"/>
        </w:rPr>
        <w:t xml:space="preserve">Advisory Board:</w:t>
      </w:r>
      <w:r>
        <w:rPr>
          <w:rFonts w:ascii="Times New Roman" w:cs="Times New Roman" w:eastAsia="Times New Roman" w:hAnsi="Times New Roman"/>
          <w:sz w:val="24"/>
          <w:szCs w:val="24"/>
        </w:rPr>
        <w:t xml:space="preserve"> means the Advisory Board of the Coordinatorship;</w:t>
      </w:r>
    </w:p>
    <w:p>
      <w:pPr>
        <w:spacing w:after="120" w:line="276"/>
        <w:ind w:left="567"/>
        <w:jc w:val="both"/>
      </w:pPr>
      <w:r>
        <w:rPr>
          <w:rFonts w:ascii="Times New Roman" w:cs="Times New Roman" w:eastAsia="Times New Roman" w:hAnsi="Times New Roman"/>
          <w:b/>
          <w:bCs/>
          <w:sz w:val="24"/>
          <w:szCs w:val="24"/>
        </w:rPr>
        <w:t xml:space="preserve">Training Programme:</w:t>
      </w:r>
      <w:r>
        <w:rPr>
          <w:rFonts w:ascii="Times New Roman" w:cs="Times New Roman" w:eastAsia="Times New Roman" w:hAnsi="Times New Roman"/>
          <w:sz w:val="24"/>
          <w:szCs w:val="24"/>
        </w:rPr>
        <w:t xml:space="preserve"> means the training to be conducted within the scope of the Tokat Gaziosmanpaşa University training of trainers activities;</w:t>
      </w:r>
    </w:p>
    <w:p>
      <w:pPr>
        <w:spacing w:after="120" w:line="276"/>
        <w:ind w:left="567"/>
        <w:jc w:val="both"/>
      </w:pPr>
      <w:r>
        <w:rPr>
          <w:rFonts w:ascii="Times New Roman" w:cs="Times New Roman" w:eastAsia="Times New Roman" w:hAnsi="Times New Roman"/>
          <w:b/>
          <w:bCs/>
          <w:sz w:val="24"/>
          <w:szCs w:val="24"/>
        </w:rPr>
        <w:t xml:space="preserve">Trainer:</w:t>
      </w:r>
      <w:r>
        <w:rPr>
          <w:rFonts w:ascii="Times New Roman" w:cs="Times New Roman" w:eastAsia="Times New Roman" w:hAnsi="Times New Roman"/>
          <w:sz w:val="24"/>
          <w:szCs w:val="24"/>
        </w:rPr>
        <w:t xml:space="preserve"> means the persons who deliver instruction in the training programme conducted by the Coordinatorship;</w:t>
      </w:r>
    </w:p>
    <w:p>
      <w:pPr>
        <w:spacing w:after="120" w:line="276"/>
        <w:ind w:left="567"/>
        <w:jc w:val="both"/>
      </w:pPr>
      <w:r>
        <w:rPr>
          <w:rFonts w:ascii="Times New Roman" w:cs="Times New Roman" w:eastAsia="Times New Roman" w:hAnsi="Times New Roman"/>
          <w:b/>
          <w:bCs/>
          <w:sz w:val="24"/>
          <w:szCs w:val="24"/>
        </w:rPr>
        <w:t xml:space="preserve">Participant:</w:t>
      </w:r>
      <w:r>
        <w:rPr>
          <w:rFonts w:ascii="Times New Roman" w:cs="Times New Roman" w:eastAsia="Times New Roman" w:hAnsi="Times New Roman"/>
          <w:sz w:val="24"/>
          <w:szCs w:val="24"/>
        </w:rPr>
        <w:t xml:space="preserve"> means the teaching staff of Tokat Gaziosmanpaşa University and persons from other institutions who attend the training;</w:t>
      </w:r>
    </w:p>
    <w:p>
      <w:pPr>
        <w:spacing w:after="120" w:line="276"/>
        <w:ind w:left="567"/>
        <w:jc w:val="both"/>
      </w:pPr>
      <w:r>
        <w:rPr>
          <w:rFonts w:ascii="Times New Roman" w:cs="Times New Roman" w:eastAsia="Times New Roman" w:hAnsi="Times New Roman"/>
          <w:b/>
          <w:bCs/>
          <w:sz w:val="24"/>
          <w:szCs w:val="24"/>
        </w:rPr>
        <w:t xml:space="preserve">Certificate of Attendance:</w:t>
      </w:r>
      <w:r>
        <w:rPr>
          <w:rFonts w:ascii="Times New Roman" w:cs="Times New Roman" w:eastAsia="Times New Roman" w:hAnsi="Times New Roman"/>
          <w:sz w:val="24"/>
          <w:szCs w:val="24"/>
        </w:rPr>
        <w:t xml:space="preserve"> means the certificate to be awarded to participants who attend the training of trainers programme and fulfil the attendance requirement;</w:t>
      </w:r>
    </w:p>
    <w:p>
      <w:pPr>
        <w:spacing w:after="120" w:line="276"/>
        <w:ind w:left="567"/>
        <w:jc w:val="both"/>
      </w:pPr>
      <w:r>
        <w:rPr>
          <w:rFonts w:ascii="Times New Roman" w:cs="Times New Roman" w:eastAsia="Times New Roman" w:hAnsi="Times New Roman"/>
          <w:b/>
          <w:bCs/>
          <w:sz w:val="24"/>
          <w:szCs w:val="24"/>
        </w:rPr>
        <w:t xml:space="preserve">Coordinator:</w:t>
      </w:r>
      <w:r>
        <w:rPr>
          <w:rFonts w:ascii="Times New Roman" w:cs="Times New Roman" w:eastAsia="Times New Roman" w:hAnsi="Times New Roman"/>
          <w:sz w:val="24"/>
          <w:szCs w:val="24"/>
        </w:rPr>
        <w:t xml:space="preserve"> means the person selected to plan and conduct the training activities related to the training of trainers within the University;</w:t>
      </w:r>
    </w:p>
    <w:p>
      <w:pPr>
        <w:spacing w:after="120" w:line="276"/>
        <w:ind w:left="567"/>
        <w:jc w:val="both"/>
      </w:pPr>
      <w:r>
        <w:rPr>
          <w:rFonts w:ascii="Times New Roman" w:cs="Times New Roman" w:eastAsia="Times New Roman" w:hAnsi="Times New Roman"/>
          <w:b/>
          <w:bCs/>
          <w:sz w:val="24"/>
          <w:szCs w:val="24"/>
        </w:rPr>
        <w:t xml:space="preserve">Centre:</w:t>
      </w:r>
      <w:r>
        <w:rPr>
          <w:rFonts w:ascii="Times New Roman" w:cs="Times New Roman" w:eastAsia="Times New Roman" w:hAnsi="Times New Roman"/>
          <w:sz w:val="24"/>
          <w:szCs w:val="24"/>
        </w:rPr>
        <w:t xml:space="preserve"> means the Tokat Gaziosmanpaşa University Continuing Education Research and Application Centre;</w:t>
      </w:r>
    </w:p>
    <w:p>
      <w:pPr>
        <w:spacing w:after="120" w:line="276"/>
        <w:ind w:left="567"/>
        <w:jc w:val="both"/>
      </w:pPr>
      <w:r>
        <w:rPr>
          <w:rFonts w:ascii="Times New Roman" w:cs="Times New Roman" w:eastAsia="Times New Roman" w:hAnsi="Times New Roman"/>
          <w:b/>
          <w:bCs/>
          <w:sz w:val="24"/>
          <w:szCs w:val="24"/>
        </w:rPr>
        <w:t xml:space="preserve">Rector:</w:t>
      </w:r>
      <w:r>
        <w:rPr>
          <w:rFonts w:ascii="Times New Roman" w:cs="Times New Roman" w:eastAsia="Times New Roman" w:hAnsi="Times New Roman"/>
          <w:sz w:val="24"/>
          <w:szCs w:val="24"/>
        </w:rPr>
        <w:t xml:space="preserve"> means the Rector of Tokat Gaziosmanpaşa University;</w:t>
      </w:r>
    </w:p>
    <w:p>
      <w:pPr>
        <w:spacing w:after="120" w:line="276"/>
        <w:ind w:left="567"/>
        <w:jc w:val="both"/>
      </w:pPr>
      <w:r>
        <w:rPr>
          <w:rFonts w:ascii="Times New Roman" w:cs="Times New Roman" w:eastAsia="Times New Roman" w:hAnsi="Times New Roman"/>
          <w:b/>
          <w:bCs/>
          <w:sz w:val="24"/>
          <w:szCs w:val="24"/>
        </w:rPr>
        <w:t xml:space="preserve">University:</w:t>
      </w:r>
      <w:r>
        <w:rPr>
          <w:rFonts w:ascii="Times New Roman" w:cs="Times New Roman" w:eastAsia="Times New Roman" w:hAnsi="Times New Roman"/>
          <w:sz w:val="24"/>
          <w:szCs w:val="24"/>
        </w:rPr>
        <w:t xml:space="preserve"> means Tokat Gaziosmanpaşa University;</w:t>
      </w:r>
    </w:p>
    <w:p>
      <w:pPr>
        <w:spacing w:after="120" w:line="276"/>
        <w:ind w:left="567"/>
        <w:jc w:val="both"/>
      </w:pPr>
      <w:r>
        <w:rPr>
          <w:rFonts w:ascii="Times New Roman" w:cs="Times New Roman" w:eastAsia="Times New Roman" w:hAnsi="Times New Roman"/>
          <w:b/>
          <w:bCs/>
          <w:sz w:val="24"/>
          <w:szCs w:val="24"/>
        </w:rPr>
        <w:t xml:space="preserve">Executive Board:</w:t>
      </w:r>
      <w:r>
        <w:rPr>
          <w:rFonts w:ascii="Times New Roman" w:cs="Times New Roman" w:eastAsia="Times New Roman" w:hAnsi="Times New Roman"/>
          <w:sz w:val="24"/>
          <w:szCs w:val="24"/>
        </w:rPr>
        <w:t xml:space="preserve"> means the Executive Board of the Coordinatorship.</w:t>
      </w:r>
    </w:p>
    <w:p>
      <w:pPr>
        <w:pStyle w:val="Heading1"/>
        <w:spacing w:after="60" w:before="360" w:line="276"/>
        <w:jc w:val="center"/>
        <w:outlineLvl w:val="0"/>
      </w:pPr>
      <w:r>
        <w:rPr>
          <w:rFonts w:ascii="Times New Roman" w:cs="Times New Roman" w:eastAsia="Times New Roman" w:hAnsi="Times New Roman"/>
          <w:b/>
          <w:bCs/>
          <w:sz w:val="24"/>
          <w:szCs w:val="24"/>
        </w:rPr>
        <w:t xml:space="preserve">CHAPTER TWO</w:t>
      </w:r>
    </w:p>
    <w:p>
      <w:pPr>
        <w:spacing w:after="200" w:line="276"/>
        <w:jc w:val="center"/>
      </w:pPr>
      <w:r>
        <w:rPr>
          <w:rFonts w:ascii="Times New Roman" w:cs="Times New Roman" w:eastAsia="Times New Roman" w:hAnsi="Times New Roman"/>
          <w:b/>
          <w:bCs/>
          <w:sz w:val="24"/>
          <w:szCs w:val="24"/>
        </w:rPr>
        <w:t xml:space="preserve">Bodies, Fields of Activity and Duties of the Coordinatorship</w:t>
      </w:r>
    </w:p>
    <w:p>
      <w:pPr>
        <w:pStyle w:val="Heading2"/>
        <w:spacing w:after="60" w:before="240" w:line="276"/>
        <w:outlineLvl w:val="1"/>
      </w:pPr>
      <w:r>
        <w:rPr>
          <w:rFonts w:ascii="Times New Roman" w:cs="Times New Roman" w:eastAsia="Times New Roman" w:hAnsi="Times New Roman"/>
          <w:b/>
          <w:bCs/>
          <w:sz w:val="24"/>
          <w:szCs w:val="24"/>
        </w:rPr>
        <w:t xml:space="preserve">Bodies of the Coordinatorship</w:t>
      </w:r>
    </w:p>
    <w:p>
      <w:pPr>
        <w:spacing w:after="120" w:line="276"/>
        <w:jc w:val="both"/>
      </w:pPr>
      <w:r>
        <w:rPr>
          <w:rFonts w:ascii="Times New Roman" w:cs="Times New Roman" w:eastAsia="Times New Roman" w:hAnsi="Times New Roman"/>
          <w:b/>
          <w:bCs/>
          <w:sz w:val="24"/>
          <w:szCs w:val="24"/>
        </w:rPr>
        <w:t xml:space="preserve">Article 4 –</w:t>
      </w:r>
      <w:r>
        <w:rPr>
          <w:rFonts w:ascii="Times New Roman" w:cs="Times New Roman" w:eastAsia="Times New Roman" w:hAnsi="Times New Roman"/>
          <w:sz w:val="24"/>
          <w:szCs w:val="24"/>
        </w:rPr>
        <w:t xml:space="preserve"> The Coordinator, the Advisory Board and the Executive Board.</w:t>
      </w:r>
    </w:p>
    <w:p>
      <w:pPr>
        <w:pStyle w:val="Heading2"/>
        <w:spacing w:after="60" w:before="240" w:line="276"/>
        <w:outlineLvl w:val="1"/>
      </w:pPr>
      <w:r>
        <w:rPr>
          <w:rFonts w:ascii="Times New Roman" w:cs="Times New Roman" w:eastAsia="Times New Roman" w:hAnsi="Times New Roman"/>
          <w:b/>
          <w:bCs/>
          <w:sz w:val="24"/>
          <w:szCs w:val="24"/>
        </w:rPr>
        <w:t xml:space="preserve">Appointment and Duties of the Coordinator</w:t>
      </w:r>
    </w:p>
    <w:p>
      <w:pPr>
        <w:spacing w:after="120" w:line="276"/>
        <w:jc w:val="both"/>
      </w:pPr>
      <w:r>
        <w:rPr>
          <w:rFonts w:ascii="Times New Roman" w:cs="Times New Roman" w:eastAsia="Times New Roman" w:hAnsi="Times New Roman"/>
          <w:b/>
          <w:bCs/>
          <w:sz w:val="24"/>
          <w:szCs w:val="24"/>
        </w:rPr>
        <w:t xml:space="preserve">Article 5 – (1)</w:t>
      </w:r>
      <w:r>
        <w:rPr>
          <w:rFonts w:ascii="Times New Roman" w:cs="Times New Roman" w:eastAsia="Times New Roman" w:hAnsi="Times New Roman"/>
          <w:sz w:val="24"/>
          <w:szCs w:val="24"/>
        </w:rPr>
        <w:t xml:space="preserve"> The Coordinator is appointed by the Rector for a term of three (3) years from among the faculty members who are specialised and experienced in the field of educational sciences and teacher training, in order to fulfil the aims and duties of the Coordinatorship. A Coordinator whose term of office has expired may be reappointed in accordance with the same procedure.</w:t>
      </w:r>
    </w:p>
    <w:p>
      <w:pPr>
        <w:spacing w:after="120" w:line="276"/>
        <w:jc w:val="both"/>
      </w:pPr>
      <w:r>
        <w:rPr>
          <w:rFonts w:ascii="Times New Roman" w:cs="Times New Roman" w:eastAsia="Times New Roman" w:hAnsi="Times New Roman"/>
          <w:sz w:val="24"/>
          <w:szCs w:val="24"/>
        </w:rPr>
        <w:t xml:space="preserve">(2) The duties of the Coordinator are as follows:</w:t>
      </w:r>
    </w:p>
    <w:p>
      <w:pPr>
        <w:spacing w:after="100" w:line="276"/>
        <w:ind w:left="567"/>
        <w:jc w:val="both"/>
      </w:pPr>
      <w:r>
        <w:rPr>
          <w:rFonts w:ascii="Times New Roman" w:cs="Times New Roman" w:eastAsia="Times New Roman" w:hAnsi="Times New Roman"/>
          <w:sz w:val="24"/>
          <w:szCs w:val="24"/>
        </w:rPr>
        <w:t xml:space="preserve">a) To represent the Coordinatorship.</w:t>
      </w:r>
    </w:p>
    <w:p>
      <w:pPr>
        <w:spacing w:after="100" w:line="276"/>
        <w:ind w:left="567"/>
        <w:jc w:val="both"/>
      </w:pPr>
      <w:r>
        <w:rPr>
          <w:rFonts w:ascii="Times New Roman" w:cs="Times New Roman" w:eastAsia="Times New Roman" w:hAnsi="Times New Roman"/>
          <w:sz w:val="24"/>
          <w:szCs w:val="24"/>
        </w:rPr>
        <w:t xml:space="preserve">b) To carry out the duties relating to the aims set out in this Directive.</w:t>
      </w:r>
    </w:p>
    <w:p>
      <w:pPr>
        <w:spacing w:after="100" w:line="276"/>
        <w:ind w:left="567"/>
        <w:jc w:val="both"/>
      </w:pPr>
      <w:r>
        <w:rPr>
          <w:rFonts w:ascii="Times New Roman" w:cs="Times New Roman" w:eastAsia="Times New Roman" w:hAnsi="Times New Roman"/>
          <w:sz w:val="24"/>
          <w:szCs w:val="24"/>
        </w:rPr>
        <w:t xml:space="preserve">c) To submit a report on the work of the Coordinatorship to the Rector each term.</w:t>
      </w:r>
    </w:p>
    <w:p>
      <w:pPr>
        <w:spacing w:after="100" w:line="276"/>
        <w:ind w:left="567"/>
        <w:jc w:val="both"/>
      </w:pPr>
      <w:r>
        <w:rPr>
          <w:rFonts w:ascii="Times New Roman" w:cs="Times New Roman" w:eastAsia="Times New Roman" w:hAnsi="Times New Roman"/>
          <w:sz w:val="24"/>
          <w:szCs w:val="24"/>
        </w:rPr>
        <w:t xml:space="preserve">ç) To ensure the organisation and effective functioning of the units within the Coordinatorship and to make the necessary planning and arrangements.</w:t>
      </w:r>
    </w:p>
    <w:p>
      <w:pPr>
        <w:pStyle w:val="Heading2"/>
        <w:spacing w:after="60" w:before="240" w:line="276"/>
        <w:outlineLvl w:val="1"/>
      </w:pPr>
      <w:r>
        <w:rPr>
          <w:rFonts w:ascii="Times New Roman" w:cs="Times New Roman" w:eastAsia="Times New Roman" w:hAnsi="Times New Roman"/>
          <w:b/>
          <w:bCs/>
          <w:sz w:val="24"/>
          <w:szCs w:val="24"/>
        </w:rPr>
        <w:t xml:space="preserve">Appointment and Duties of the Deputy Coordinator</w:t>
      </w:r>
    </w:p>
    <w:p>
      <w:pPr>
        <w:spacing w:after="120" w:line="276"/>
        <w:jc w:val="both"/>
      </w:pPr>
      <w:r>
        <w:rPr>
          <w:rFonts w:ascii="Times New Roman" w:cs="Times New Roman" w:eastAsia="Times New Roman" w:hAnsi="Times New Roman"/>
          <w:b/>
          <w:bCs/>
          <w:sz w:val="24"/>
          <w:szCs w:val="24"/>
        </w:rPr>
        <w:t xml:space="preserve">Article 6 – (1)</w:t>
      </w:r>
      <w:r>
        <w:rPr>
          <w:rFonts w:ascii="Times New Roman" w:cs="Times New Roman" w:eastAsia="Times New Roman" w:hAnsi="Times New Roman"/>
          <w:sz w:val="24"/>
          <w:szCs w:val="24"/>
        </w:rPr>
        <w:t xml:space="preserve"> Two deputy coordinators are appointed by the Rector from among the teaching staff of the University upon the proposal of the Coordinator.</w:t>
      </w:r>
    </w:p>
    <w:p>
      <w:pPr>
        <w:spacing w:after="120" w:line="276"/>
        <w:jc w:val="both"/>
      </w:pPr>
      <w:r>
        <w:rPr>
          <w:rFonts w:ascii="Times New Roman" w:cs="Times New Roman" w:eastAsia="Times New Roman" w:hAnsi="Times New Roman"/>
          <w:sz w:val="24"/>
          <w:szCs w:val="24"/>
        </w:rPr>
        <w:t xml:space="preserve">(2) The duties of the deputy coordinator are as follows:</w:t>
      </w:r>
    </w:p>
    <w:p>
      <w:pPr>
        <w:spacing w:after="100" w:line="276"/>
        <w:ind w:left="567"/>
        <w:jc w:val="both"/>
      </w:pPr>
      <w:r>
        <w:rPr>
          <w:rFonts w:ascii="Times New Roman" w:cs="Times New Roman" w:eastAsia="Times New Roman" w:hAnsi="Times New Roman"/>
          <w:sz w:val="24"/>
          <w:szCs w:val="24"/>
        </w:rPr>
        <w:t xml:space="preserve">a) To assist the Coordinator in relation to the fields of duty and responsibility determined by the Coordinator.</w:t>
      </w:r>
    </w:p>
    <w:p>
      <w:pPr>
        <w:spacing w:after="100" w:line="276"/>
        <w:ind w:left="567"/>
        <w:jc w:val="both"/>
      </w:pPr>
      <w:r>
        <w:rPr>
          <w:rFonts w:ascii="Times New Roman" w:cs="Times New Roman" w:eastAsia="Times New Roman" w:hAnsi="Times New Roman"/>
          <w:sz w:val="24"/>
          <w:szCs w:val="24"/>
        </w:rPr>
        <w:t xml:space="preserve">b) To follow the legislation relating to the field of duty on a regular basis.</w:t>
      </w:r>
    </w:p>
    <w:p>
      <w:pPr>
        <w:pStyle w:val="Heading2"/>
        <w:spacing w:after="60" w:before="240" w:line="276"/>
        <w:outlineLvl w:val="1"/>
      </w:pPr>
      <w:r>
        <w:rPr>
          <w:rFonts w:ascii="Times New Roman" w:cs="Times New Roman" w:eastAsia="Times New Roman" w:hAnsi="Times New Roman"/>
          <w:b/>
          <w:bCs/>
          <w:sz w:val="24"/>
          <w:szCs w:val="24"/>
        </w:rPr>
        <w:t xml:space="preserve">Composition of the Advisory Board and Adoption of Decisions</w:t>
      </w:r>
    </w:p>
    <w:p>
      <w:pPr>
        <w:spacing w:after="120" w:line="276"/>
        <w:jc w:val="both"/>
      </w:pPr>
      <w:r>
        <w:rPr>
          <w:rFonts w:ascii="Times New Roman" w:cs="Times New Roman" w:eastAsia="Times New Roman" w:hAnsi="Times New Roman"/>
          <w:b/>
          <w:bCs/>
          <w:sz w:val="24"/>
          <w:szCs w:val="24"/>
        </w:rPr>
        <w:t xml:space="preserve">Article 7 – (1)</w:t>
      </w:r>
      <w:r>
        <w:rPr>
          <w:rFonts w:ascii="Times New Roman" w:cs="Times New Roman" w:eastAsia="Times New Roman" w:hAnsi="Times New Roman"/>
          <w:sz w:val="24"/>
          <w:szCs w:val="24"/>
        </w:rPr>
        <w:t xml:space="preserve"> The Board consists of seven (7) members, namely the relevant Vice-Rector, the Dean of the Faculty of Education, the Coordinator for the Training of Trainers, the two deputy coordinators, the Quality Coordinator and the Director of the Tokat Gaziosmanpaşa University Continuing Education Application and Research Centre.</w:t>
      </w:r>
    </w:p>
    <w:p>
      <w:pPr>
        <w:spacing w:after="120" w:line="276"/>
        <w:jc w:val="both"/>
      </w:pPr>
      <w:r>
        <w:rPr>
          <w:rFonts w:ascii="Times New Roman" w:cs="Times New Roman" w:eastAsia="Times New Roman" w:hAnsi="Times New Roman"/>
          <w:sz w:val="24"/>
          <w:szCs w:val="24"/>
        </w:rPr>
        <w:t xml:space="preserve">(2) The Board convenes at least twice a year. Depending on need, the Board may be convened in an extraordinary meeting with the approval of the relevant Vice-Rector. In addition, members of the Board may apply to the Coordinatorship for the Training of Trainers requesting that a meeting be convened.</w:t>
      </w:r>
    </w:p>
    <w:p>
      <w:pPr>
        <w:spacing w:after="120" w:line="276"/>
        <w:jc w:val="both"/>
      </w:pPr>
      <w:r>
        <w:rPr>
          <w:rFonts w:ascii="Times New Roman" w:cs="Times New Roman" w:eastAsia="Times New Roman" w:hAnsi="Times New Roman"/>
          <w:sz w:val="24"/>
          <w:szCs w:val="24"/>
        </w:rPr>
        <w:t xml:space="preserve">(3) The Advisory Board convenes with at least five (5) members and adopts decisions by an absolute majority of those attending the meeting. The Board is chaired by the relevant Vice-Rector. Where the Vice-Rector is unable to attend the meeting, the Coordinator for the Training of Trainers chairs the meeting.</w:t>
      </w:r>
    </w:p>
    <w:p>
      <w:pPr>
        <w:pStyle w:val="Heading2"/>
        <w:spacing w:after="60" w:before="240" w:line="276"/>
        <w:outlineLvl w:val="1"/>
      </w:pPr>
      <w:r>
        <w:rPr>
          <w:rFonts w:ascii="Times New Roman" w:cs="Times New Roman" w:eastAsia="Times New Roman" w:hAnsi="Times New Roman"/>
          <w:b/>
          <w:bCs/>
          <w:sz w:val="24"/>
          <w:szCs w:val="24"/>
        </w:rPr>
        <w:t xml:space="preserve">Duties, Composition and Adoption of Decisions of the Executive Board</w:t>
      </w:r>
    </w:p>
    <w:p>
      <w:pPr>
        <w:spacing w:after="120" w:line="276"/>
        <w:jc w:val="both"/>
      </w:pPr>
      <w:r>
        <w:rPr>
          <w:rFonts w:ascii="Times New Roman" w:cs="Times New Roman" w:eastAsia="Times New Roman" w:hAnsi="Times New Roman"/>
          <w:b/>
          <w:bCs/>
          <w:sz w:val="24"/>
          <w:szCs w:val="24"/>
        </w:rPr>
        <w:t xml:space="preserve">Article 8 – (1)</w:t>
      </w:r>
      <w:r>
        <w:rPr>
          <w:rFonts w:ascii="Times New Roman" w:cs="Times New Roman" w:eastAsia="Times New Roman" w:hAnsi="Times New Roman"/>
          <w:sz w:val="24"/>
          <w:szCs w:val="24"/>
        </w:rPr>
        <w:t xml:space="preserve"> The Executive Board consists of seven (7) members in total, namely the Coordinator for the Training of Trainers as chair, the deputy coordinators and four faculty members from the core field of educational sciences and teacher training. The Executive Board convenes with at least five (5) members and decisions are adopted by an absolute majority of those attending the meeting. The term of office of the members of the Executive Board, who are appointed by the Rector upon the proposal of the Coordinator, is three (3) years. Members whose term of office has expired may be reappointed in accordance with the same procedure.</w:t>
      </w:r>
    </w:p>
    <w:p>
      <w:pPr>
        <w:spacing w:after="120" w:line="276"/>
        <w:jc w:val="both"/>
      </w:pPr>
      <w:r>
        <w:rPr>
          <w:rFonts w:ascii="Times New Roman" w:cs="Times New Roman" w:eastAsia="Times New Roman" w:hAnsi="Times New Roman"/>
          <w:sz w:val="24"/>
          <w:szCs w:val="24"/>
        </w:rPr>
        <w:t xml:space="preserve">(2) The duties of the Executive Board are as follows:</w:t>
      </w:r>
    </w:p>
    <w:p>
      <w:pPr>
        <w:spacing w:after="100" w:line="276"/>
        <w:ind w:left="567"/>
        <w:jc w:val="both"/>
      </w:pPr>
      <w:r>
        <w:rPr>
          <w:rFonts w:ascii="Times New Roman" w:cs="Times New Roman" w:eastAsia="Times New Roman" w:hAnsi="Times New Roman"/>
          <w:sz w:val="24"/>
          <w:szCs w:val="24"/>
        </w:rPr>
        <w:t xml:space="preserve">a) To establish the training of trainers programme of the University and to improve it continuously.</w:t>
      </w:r>
    </w:p>
    <w:p>
      <w:pPr>
        <w:spacing w:after="100" w:line="276"/>
        <w:ind w:left="567"/>
        <w:jc w:val="both"/>
      </w:pPr>
      <w:r>
        <w:rPr>
          <w:rFonts w:ascii="Times New Roman" w:cs="Times New Roman" w:eastAsia="Times New Roman" w:hAnsi="Times New Roman"/>
          <w:sz w:val="24"/>
          <w:szCs w:val="24"/>
        </w:rPr>
        <w:t xml:space="preserve">b) To ensure that an innovative approach to education is managed from a strategic perspective.</w:t>
      </w:r>
    </w:p>
    <w:p>
      <w:pPr>
        <w:spacing w:after="100" w:line="276"/>
        <w:ind w:left="567"/>
        <w:jc w:val="both"/>
      </w:pPr>
      <w:r>
        <w:rPr>
          <w:rFonts w:ascii="Times New Roman" w:cs="Times New Roman" w:eastAsia="Times New Roman" w:hAnsi="Times New Roman"/>
          <w:sz w:val="24"/>
          <w:szCs w:val="24"/>
        </w:rPr>
        <w:t xml:space="preserve">c) To ensure interaction among the academic units of the University.</w:t>
      </w:r>
    </w:p>
    <w:p>
      <w:pPr>
        <w:spacing w:after="100" w:line="276"/>
        <w:ind w:left="567"/>
        <w:jc w:val="both"/>
      </w:pPr>
      <w:r>
        <w:rPr>
          <w:rFonts w:ascii="Times New Roman" w:cs="Times New Roman" w:eastAsia="Times New Roman" w:hAnsi="Times New Roman"/>
          <w:sz w:val="24"/>
          <w:szCs w:val="24"/>
        </w:rPr>
        <w:t xml:space="preserve">ç) To evaluate requests for tailored teaching and learning programmes submitted by different academic units and to plan training accordingly.</w:t>
      </w:r>
    </w:p>
    <w:p>
      <w:pPr>
        <w:spacing w:after="100" w:line="276"/>
        <w:ind w:left="567"/>
        <w:jc w:val="both"/>
      </w:pPr>
      <w:r>
        <w:rPr>
          <w:rFonts w:ascii="Times New Roman" w:cs="Times New Roman" w:eastAsia="Times New Roman" w:hAnsi="Times New Roman"/>
          <w:sz w:val="24"/>
          <w:szCs w:val="24"/>
        </w:rPr>
        <w:t xml:space="preserve">d) To plan activities relating to the opinions communicated by the Advisory Board.</w:t>
      </w:r>
    </w:p>
    <w:p>
      <w:pPr>
        <w:spacing w:after="100" w:line="276"/>
        <w:ind w:left="567"/>
        <w:jc w:val="both"/>
      </w:pPr>
      <w:r>
        <w:rPr>
          <w:rFonts w:ascii="Times New Roman" w:cs="Times New Roman" w:eastAsia="Times New Roman" w:hAnsi="Times New Roman"/>
          <w:sz w:val="24"/>
          <w:szCs w:val="24"/>
        </w:rPr>
        <w:t xml:space="preserve">e) To ensure coordination in matters falling within the field of activity of the Coordinatorship.</w:t>
      </w:r>
    </w:p>
    <w:p>
      <w:pPr>
        <w:pStyle w:val="Heading2"/>
        <w:spacing w:after="60" w:before="240" w:line="276"/>
        <w:outlineLvl w:val="1"/>
      </w:pPr>
      <w:r>
        <w:rPr>
          <w:rFonts w:ascii="Times New Roman" w:cs="Times New Roman" w:eastAsia="Times New Roman" w:hAnsi="Times New Roman"/>
          <w:b/>
          <w:bCs/>
          <w:sz w:val="24"/>
          <w:szCs w:val="24"/>
        </w:rPr>
        <w:t xml:space="preserve">Duties of the Coordinatorship</w:t>
      </w:r>
    </w:p>
    <w:p>
      <w:pPr>
        <w:spacing w:after="120" w:line="276"/>
        <w:jc w:val="both"/>
      </w:pPr>
      <w:r>
        <w:rPr>
          <w:rFonts w:ascii="Times New Roman" w:cs="Times New Roman" w:eastAsia="Times New Roman" w:hAnsi="Times New Roman"/>
          <w:b/>
          <w:bCs/>
          <w:sz w:val="24"/>
          <w:szCs w:val="24"/>
        </w:rPr>
        <w:t xml:space="preserve">Article 9 –</w:t>
      </w:r>
      <w:r>
        <w:rPr>
          <w:rFonts w:ascii="Times New Roman" w:cs="Times New Roman" w:eastAsia="Times New Roman" w:hAnsi="Times New Roman"/>
          <w:sz w:val="24"/>
          <w:szCs w:val="24"/>
        </w:rPr>
        <w:t xml:space="preserve"> The duties of the Coordinatorship are as follows:</w:t>
      </w:r>
    </w:p>
    <w:p>
      <w:pPr>
        <w:spacing w:after="100" w:line="276"/>
        <w:ind w:left="567"/>
        <w:jc w:val="both"/>
      </w:pPr>
      <w:r>
        <w:rPr>
          <w:rFonts w:ascii="Times New Roman" w:cs="Times New Roman" w:eastAsia="Times New Roman" w:hAnsi="Times New Roman"/>
          <w:sz w:val="24"/>
          <w:szCs w:val="24"/>
        </w:rPr>
        <w:t xml:space="preserve">(1) To organise the training of trainers programme in line with the proposals of the University Quality Commission and of the Advisory Board of the Coordinatorship;</w:t>
      </w:r>
    </w:p>
    <w:p>
      <w:pPr>
        <w:spacing w:after="100" w:line="276"/>
        <w:ind w:left="567"/>
        <w:jc w:val="both"/>
      </w:pPr>
      <w:r>
        <w:rPr>
          <w:rFonts w:ascii="Times New Roman" w:cs="Times New Roman" w:eastAsia="Times New Roman" w:hAnsi="Times New Roman"/>
          <w:sz w:val="24"/>
          <w:szCs w:val="24"/>
        </w:rPr>
        <w:t xml:space="preserve">(2) To organise training courses, in line with the requests of other public and private institutions, within the Tokat Gaziosmanpaşa University Continuing Education Research and Application Centre (TOGÜSEM) and under the revolving fund scheme.</w:t>
      </w:r>
    </w:p>
    <w:p>
      <w:pPr>
        <w:pStyle w:val="Heading2"/>
        <w:spacing w:after="60" w:before="240" w:line="276"/>
        <w:outlineLvl w:val="1"/>
      </w:pPr>
      <w:r>
        <w:rPr>
          <w:rFonts w:ascii="Times New Roman" w:cs="Times New Roman" w:eastAsia="Times New Roman" w:hAnsi="Times New Roman"/>
          <w:b/>
          <w:bCs/>
          <w:sz w:val="24"/>
          <w:szCs w:val="24"/>
        </w:rPr>
        <w:t xml:space="preserve">Fields of Activity of the Coordinatorship</w:t>
      </w:r>
    </w:p>
    <w:p>
      <w:pPr>
        <w:spacing w:after="120" w:line="276"/>
        <w:jc w:val="both"/>
      </w:pPr>
      <w:r>
        <w:rPr>
          <w:rFonts w:ascii="Times New Roman" w:cs="Times New Roman" w:eastAsia="Times New Roman" w:hAnsi="Times New Roman"/>
          <w:b/>
          <w:bCs/>
          <w:sz w:val="24"/>
          <w:szCs w:val="24"/>
        </w:rPr>
        <w:t xml:space="preserve">Article 10 –</w:t>
      </w:r>
      <w:r>
        <w:rPr>
          <w:rFonts w:ascii="Times New Roman" w:cs="Times New Roman" w:eastAsia="Times New Roman" w:hAnsi="Times New Roman"/>
          <w:sz w:val="24"/>
          <w:szCs w:val="24"/>
        </w:rPr>
        <w:t xml:space="preserve"> In order to achieve the aims set out in Article 4 of this Directive, the Coordinatorship carries out the following activities:</w:t>
      </w:r>
    </w:p>
    <w:p>
      <w:pPr>
        <w:spacing w:after="100" w:line="276"/>
        <w:ind w:left="567"/>
        <w:jc w:val="both"/>
      </w:pPr>
      <w:r>
        <w:rPr>
          <w:rFonts w:ascii="Times New Roman" w:cs="Times New Roman" w:eastAsia="Times New Roman" w:hAnsi="Times New Roman"/>
          <w:sz w:val="24"/>
          <w:szCs w:val="24"/>
        </w:rPr>
        <w:t xml:space="preserve">(1) Organising training courses that include interactive applications such as workshops, group work and case discussions.</w:t>
      </w:r>
    </w:p>
    <w:p>
      <w:pPr>
        <w:spacing w:after="100" w:line="276"/>
        <w:ind w:left="567"/>
        <w:jc w:val="both"/>
      </w:pPr>
      <w:r>
        <w:rPr>
          <w:rFonts w:ascii="Times New Roman" w:cs="Times New Roman" w:eastAsia="Times New Roman" w:hAnsi="Times New Roman"/>
          <w:sz w:val="24"/>
          <w:szCs w:val="24"/>
        </w:rPr>
        <w:t xml:space="preserve">(2) Planning and delivering training courses in accordance with adult education techniques.</w:t>
      </w:r>
    </w:p>
    <w:p>
      <w:pPr>
        <w:spacing w:after="100" w:line="276"/>
        <w:ind w:left="567"/>
        <w:jc w:val="both"/>
      </w:pPr>
      <w:r>
        <w:rPr>
          <w:rFonts w:ascii="Times New Roman" w:cs="Times New Roman" w:eastAsia="Times New Roman" w:hAnsi="Times New Roman"/>
          <w:sz w:val="24"/>
          <w:szCs w:val="24"/>
        </w:rPr>
        <w:t xml:space="preserve">(3) Enabling participants in the training of trainers programme to carry out practical work on subjects related to their own fields of specialisation.</w:t>
      </w:r>
    </w:p>
    <w:p>
      <w:pPr>
        <w:spacing w:after="100" w:line="276"/>
        <w:ind w:left="567"/>
        <w:jc w:val="both"/>
      </w:pPr>
      <w:r>
        <w:rPr>
          <w:rFonts w:ascii="Times New Roman" w:cs="Times New Roman" w:eastAsia="Times New Roman" w:hAnsi="Times New Roman"/>
          <w:sz w:val="24"/>
          <w:szCs w:val="24"/>
        </w:rPr>
        <w:t xml:space="preserve">(4) Contributing to the preparation and use of appropriate instructional materials by participants in the training of trainers programme.</w:t>
      </w:r>
    </w:p>
    <w:p>
      <w:pPr>
        <w:pStyle w:val="Heading1"/>
        <w:spacing w:after="60" w:before="360" w:line="276"/>
        <w:jc w:val="center"/>
        <w:outlineLvl w:val="0"/>
      </w:pPr>
      <w:r>
        <w:rPr>
          <w:rFonts w:ascii="Times New Roman" w:cs="Times New Roman" w:eastAsia="Times New Roman" w:hAnsi="Times New Roman"/>
          <w:b/>
          <w:bCs/>
          <w:sz w:val="24"/>
          <w:szCs w:val="24"/>
        </w:rPr>
        <w:t xml:space="preserve">CHAPTER THREE</w:t>
      </w:r>
    </w:p>
    <w:p>
      <w:pPr>
        <w:spacing w:after="200" w:line="276"/>
        <w:jc w:val="center"/>
      </w:pPr>
      <w:r>
        <w:rPr>
          <w:rFonts w:ascii="Times New Roman" w:cs="Times New Roman" w:eastAsia="Times New Roman" w:hAnsi="Times New Roman"/>
          <w:b/>
          <w:bCs/>
          <w:sz w:val="24"/>
          <w:szCs w:val="24"/>
        </w:rPr>
        <w:t xml:space="preserve">Principles Concerning the Training of Trainers Programme</w:t>
      </w:r>
    </w:p>
    <w:p>
      <w:pPr>
        <w:pStyle w:val="Heading2"/>
        <w:spacing w:after="60" w:before="240" w:line="276"/>
        <w:outlineLvl w:val="1"/>
      </w:pPr>
      <w:r>
        <w:rPr>
          <w:rFonts w:ascii="Times New Roman" w:cs="Times New Roman" w:eastAsia="Times New Roman" w:hAnsi="Times New Roman"/>
          <w:b/>
          <w:bCs/>
          <w:sz w:val="24"/>
          <w:szCs w:val="24"/>
        </w:rPr>
        <w:t xml:space="preserve">Subjects to Be Included in the Training of Trainers Programme</w:t>
      </w:r>
    </w:p>
    <w:p>
      <w:pPr>
        <w:spacing w:after="120" w:line="276"/>
        <w:jc w:val="both"/>
      </w:pPr>
      <w:r>
        <w:rPr>
          <w:rFonts w:ascii="Times New Roman" w:cs="Times New Roman" w:eastAsia="Times New Roman" w:hAnsi="Times New Roman"/>
          <w:b/>
          <w:bCs/>
          <w:sz w:val="24"/>
          <w:szCs w:val="24"/>
        </w:rPr>
        <w:t xml:space="preserve">Article 11 – (1)</w:t>
      </w:r>
      <w:r>
        <w:rPr>
          <w:rFonts w:ascii="Times New Roman" w:cs="Times New Roman" w:eastAsia="Times New Roman" w:hAnsi="Times New Roman"/>
          <w:sz w:val="24"/>
          <w:szCs w:val="24"/>
        </w:rPr>
        <w:t xml:space="preserve"> In order for participants to reach a sufficient level of competence in the use of teaching methods and techniques and in measurement and evaluation, the scope of the Training of Trainers Programme must include at least the following subjects:</w:t>
      </w:r>
    </w:p>
    <w:p>
      <w:pPr>
        <w:spacing w:after="100" w:line="276"/>
        <w:ind w:left="567"/>
        <w:jc w:val="both"/>
      </w:pPr>
      <w:r>
        <w:rPr>
          <w:rFonts w:ascii="Times New Roman" w:cs="Times New Roman" w:eastAsia="Times New Roman" w:hAnsi="Times New Roman"/>
          <w:sz w:val="24"/>
          <w:szCs w:val="24"/>
        </w:rPr>
        <w:t xml:space="preserve">a) Learning theories and domains of learning;</w:t>
      </w:r>
    </w:p>
    <w:p>
      <w:pPr>
        <w:spacing w:after="100" w:line="276"/>
        <w:ind w:left="567"/>
        <w:jc w:val="both"/>
      </w:pPr>
      <w:r>
        <w:rPr>
          <w:rFonts w:ascii="Times New Roman" w:cs="Times New Roman" w:eastAsia="Times New Roman" w:hAnsi="Times New Roman"/>
          <w:sz w:val="24"/>
          <w:szCs w:val="24"/>
        </w:rPr>
        <w:t xml:space="preserve">b) Writing aims and learning objectives;</w:t>
      </w:r>
    </w:p>
    <w:p>
      <w:pPr>
        <w:spacing w:after="100" w:line="276"/>
        <w:ind w:left="567"/>
        <w:jc w:val="both"/>
      </w:pPr>
      <w:r>
        <w:rPr>
          <w:rFonts w:ascii="Times New Roman" w:cs="Times New Roman" w:eastAsia="Times New Roman" w:hAnsi="Times New Roman"/>
          <w:sz w:val="24"/>
          <w:szCs w:val="24"/>
        </w:rPr>
        <w:t xml:space="preserve">c) Student-centred instruction;</w:t>
      </w:r>
    </w:p>
    <w:p>
      <w:pPr>
        <w:spacing w:after="100" w:line="276"/>
        <w:ind w:left="567"/>
        <w:jc w:val="both"/>
      </w:pPr>
      <w:r>
        <w:rPr>
          <w:rFonts w:ascii="Times New Roman" w:cs="Times New Roman" w:eastAsia="Times New Roman" w:hAnsi="Times New Roman"/>
          <w:sz w:val="24"/>
          <w:szCs w:val="24"/>
        </w:rPr>
        <w:t xml:space="preserve">d) Cognitive and skills training methods at pre-graduate and post-graduate levels;</w:t>
      </w:r>
    </w:p>
    <w:p>
      <w:pPr>
        <w:spacing w:after="100" w:line="276"/>
        <w:ind w:left="567"/>
        <w:jc w:val="both"/>
      </w:pPr>
      <w:r>
        <w:rPr>
          <w:rFonts w:ascii="Times New Roman" w:cs="Times New Roman" w:eastAsia="Times New Roman" w:hAnsi="Times New Roman"/>
          <w:sz w:val="24"/>
          <w:szCs w:val="24"/>
        </w:rPr>
        <w:t xml:space="preserve">e) Measurement and evaluation methods at pre-graduate and post-graduate levels;</w:t>
      </w:r>
    </w:p>
    <w:p>
      <w:pPr>
        <w:spacing w:after="100" w:line="276"/>
        <w:ind w:left="567"/>
        <w:jc w:val="both"/>
      </w:pPr>
      <w:r>
        <w:rPr>
          <w:rFonts w:ascii="Times New Roman" w:cs="Times New Roman" w:eastAsia="Times New Roman" w:hAnsi="Times New Roman"/>
          <w:sz w:val="24"/>
          <w:szCs w:val="24"/>
        </w:rPr>
        <w:t xml:space="preserve">f) Basic concepts and techniques in adult education;</w:t>
      </w:r>
    </w:p>
    <w:p>
      <w:pPr>
        <w:spacing w:after="100" w:line="276"/>
        <w:ind w:left="567"/>
        <w:jc w:val="both"/>
      </w:pPr>
      <w:r>
        <w:rPr>
          <w:rFonts w:ascii="Times New Roman" w:cs="Times New Roman" w:eastAsia="Times New Roman" w:hAnsi="Times New Roman"/>
          <w:sz w:val="24"/>
          <w:szCs w:val="24"/>
        </w:rPr>
        <w:t xml:space="preserve">g) Techniques for selecting, preparing and using visual and auditory presentation materials;</w:t>
      </w:r>
    </w:p>
    <w:p>
      <w:pPr>
        <w:spacing w:after="100" w:line="276"/>
        <w:ind w:left="567"/>
        <w:jc w:val="both"/>
      </w:pPr>
      <w:r>
        <w:rPr>
          <w:rFonts w:ascii="Times New Roman" w:cs="Times New Roman" w:eastAsia="Times New Roman" w:hAnsi="Times New Roman"/>
          <w:sz w:val="24"/>
          <w:szCs w:val="24"/>
        </w:rPr>
        <w:t xml:space="preserve">h) Communication skills.</w:t>
      </w:r>
    </w:p>
    <w:p>
      <w:pPr>
        <w:spacing w:after="120" w:line="276"/>
        <w:jc w:val="both"/>
      </w:pPr>
      <w:r>
        <w:rPr>
          <w:rFonts w:ascii="Times New Roman" w:cs="Times New Roman" w:eastAsia="Times New Roman" w:hAnsi="Times New Roman"/>
          <w:sz w:val="24"/>
          <w:szCs w:val="24"/>
        </w:rPr>
        <w:t xml:space="preserve">(2) The Coordinatorship may develop and organise a programme with different content on the basis of the disciplinary fields concerned.</w:t>
      </w:r>
    </w:p>
    <w:p>
      <w:pPr>
        <w:pStyle w:val="Heading2"/>
        <w:spacing w:after="60" w:before="240" w:line="276"/>
        <w:outlineLvl w:val="1"/>
      </w:pPr>
      <w:r>
        <w:rPr>
          <w:rFonts w:ascii="Times New Roman" w:cs="Times New Roman" w:eastAsia="Times New Roman" w:hAnsi="Times New Roman"/>
          <w:b/>
          <w:bCs/>
          <w:sz w:val="24"/>
          <w:szCs w:val="24"/>
        </w:rPr>
        <w:t xml:space="preserve">Trainers and Their Qualifications</w:t>
      </w:r>
    </w:p>
    <w:p>
      <w:pPr>
        <w:spacing w:after="120" w:line="276"/>
        <w:jc w:val="both"/>
      </w:pPr>
      <w:r>
        <w:rPr>
          <w:rFonts w:ascii="Times New Roman" w:cs="Times New Roman" w:eastAsia="Times New Roman" w:hAnsi="Times New Roman"/>
          <w:b/>
          <w:bCs/>
          <w:sz w:val="24"/>
          <w:szCs w:val="24"/>
        </w:rPr>
        <w:t xml:space="preserve">Article 12 –</w:t>
      </w:r>
      <w:r>
        <w:rPr>
          <w:rFonts w:ascii="Times New Roman" w:cs="Times New Roman" w:eastAsia="Times New Roman" w:hAnsi="Times New Roman"/>
          <w:sz w:val="24"/>
          <w:szCs w:val="24"/>
        </w:rPr>
        <w:t xml:space="preserve"> The trainers proposed to the Rectorate by the Coordinatorship for the Training of Trainers consist of teaching staff and faculty members working at Tokat Gaziosmanpaşa University who are experienced in the field of educational sciences and teacher training.</w:t>
      </w:r>
    </w:p>
    <w:p>
      <w:pPr>
        <w:pStyle w:val="Heading2"/>
        <w:spacing w:after="60" w:before="240" w:line="276"/>
        <w:outlineLvl w:val="1"/>
      </w:pPr>
      <w:r>
        <w:rPr>
          <w:rFonts w:ascii="Times New Roman" w:cs="Times New Roman" w:eastAsia="Times New Roman" w:hAnsi="Times New Roman"/>
          <w:b/>
          <w:bCs/>
          <w:sz w:val="24"/>
          <w:szCs w:val="24"/>
        </w:rPr>
        <w:t xml:space="preserve">Participants and Their Qualifications</w:t>
      </w:r>
    </w:p>
    <w:p>
      <w:pPr>
        <w:spacing w:after="120" w:line="276"/>
        <w:jc w:val="both"/>
      </w:pPr>
      <w:r>
        <w:rPr>
          <w:rFonts w:ascii="Times New Roman" w:cs="Times New Roman" w:eastAsia="Times New Roman" w:hAnsi="Times New Roman"/>
          <w:b/>
          <w:bCs/>
          <w:sz w:val="24"/>
          <w:szCs w:val="24"/>
        </w:rPr>
        <w:t xml:space="preserve">Article 13 – (1)</w:t>
      </w:r>
      <w:r>
        <w:rPr>
          <w:rFonts w:ascii="Times New Roman" w:cs="Times New Roman" w:eastAsia="Times New Roman" w:hAnsi="Times New Roman"/>
          <w:sz w:val="24"/>
          <w:szCs w:val="24"/>
        </w:rPr>
        <w:t xml:space="preserve"> These training courses are attended by those members of the teaching staff of Tokat Gaziosmanpaşa University who have not previously attended a training of trainers programme, and by teaching staff newly appointed to Tokat Gaziosmanpaşa University (with the exception of those who provide documentary evidence of having received training with the same content, graduates of faculties of education, and those who have completed postgraduate education in the field of education).</w:t>
      </w:r>
    </w:p>
    <w:p>
      <w:pPr>
        <w:spacing w:after="120" w:line="276"/>
        <w:jc w:val="both"/>
      </w:pPr>
      <w:r>
        <w:rPr>
          <w:rFonts w:ascii="Times New Roman" w:cs="Times New Roman" w:eastAsia="Times New Roman" w:hAnsi="Times New Roman"/>
          <w:sz w:val="24"/>
          <w:szCs w:val="24"/>
        </w:rPr>
        <w:t xml:space="preserve">(2) In line with the requests of other public and private institutions, personnel working at the requesting institution may attend the training courses in accordance with the second paragraph of Article 9 of this Directive.</w:t>
      </w:r>
    </w:p>
    <w:p>
      <w:pPr>
        <w:pStyle w:val="Heading2"/>
        <w:spacing w:after="60" w:before="240" w:line="276"/>
        <w:outlineLvl w:val="1"/>
      </w:pPr>
      <w:r>
        <w:rPr>
          <w:rFonts w:ascii="Times New Roman" w:cs="Times New Roman" w:eastAsia="Times New Roman" w:hAnsi="Times New Roman"/>
          <w:b/>
          <w:bCs/>
          <w:sz w:val="24"/>
          <w:szCs w:val="24"/>
        </w:rPr>
        <w:t xml:space="preserve">Form of Examination, Evaluation and Criterion of Achievement</w:t>
      </w:r>
    </w:p>
    <w:p>
      <w:pPr>
        <w:spacing w:after="120" w:line="276"/>
        <w:jc w:val="both"/>
      </w:pPr>
      <w:r>
        <w:rPr>
          <w:rFonts w:ascii="Times New Roman" w:cs="Times New Roman" w:eastAsia="Times New Roman" w:hAnsi="Times New Roman"/>
          <w:b/>
          <w:bCs/>
          <w:sz w:val="24"/>
          <w:szCs w:val="24"/>
        </w:rPr>
        <w:t xml:space="preserve">Article 14 – (1)</w:t>
      </w:r>
      <w:r>
        <w:rPr>
          <w:rFonts w:ascii="Times New Roman" w:cs="Times New Roman" w:eastAsia="Times New Roman" w:hAnsi="Times New Roman"/>
          <w:sz w:val="24"/>
          <w:szCs w:val="24"/>
        </w:rPr>
        <w:t xml:space="preserve"> In order to be awarded a certificate at the end of the training of trainers programme, participants are required to attend 80% of the classes.</w:t>
      </w:r>
    </w:p>
    <w:p>
      <w:pPr>
        <w:spacing w:after="120" w:line="276"/>
        <w:jc w:val="both"/>
      </w:pPr>
      <w:r>
        <w:rPr>
          <w:rFonts w:ascii="Times New Roman" w:cs="Times New Roman" w:eastAsia="Times New Roman" w:hAnsi="Times New Roman"/>
          <w:sz w:val="24"/>
          <w:szCs w:val="24"/>
        </w:rPr>
        <w:t xml:space="preserve">(2) Attendance in the training of trainers programme is monitored by the trainers concerned. At the end of each training programme, the trainer submits the attendance sheets to the Coordinatorship together with the chart showing attendance status.</w:t>
      </w:r>
    </w:p>
    <w:p>
      <w:pPr>
        <w:spacing w:after="120" w:line="276"/>
        <w:jc w:val="both"/>
      </w:pPr>
      <w:r>
        <w:rPr>
          <w:rFonts w:ascii="Times New Roman" w:cs="Times New Roman" w:eastAsia="Times New Roman" w:hAnsi="Times New Roman"/>
          <w:sz w:val="24"/>
          <w:szCs w:val="24"/>
        </w:rPr>
        <w:t xml:space="preserve">(3) At the end of the training, participants must pass a multiple-choice theoretical examination measuring their level of knowledge, with a score of at least 70 out of 100.</w:t>
      </w:r>
    </w:p>
    <w:p>
      <w:pPr>
        <w:spacing w:after="120" w:line="276"/>
        <w:jc w:val="both"/>
      </w:pPr>
      <w:r>
        <w:rPr>
          <w:rFonts w:ascii="Times New Roman" w:cs="Times New Roman" w:eastAsia="Times New Roman" w:hAnsi="Times New Roman"/>
          <w:sz w:val="24"/>
          <w:szCs w:val="24"/>
        </w:rPr>
        <w:t xml:space="preserve">(4) Participants assessed as successful at the end of the training are awarded a “Certificate of Achievement”. Participants who attend the training programmes but are assessed as unsuccessful are awarded a “Certificate of Attendance”.</w:t>
      </w:r>
    </w:p>
    <w:p>
      <w:pPr>
        <w:spacing w:after="120" w:line="276"/>
        <w:jc w:val="both"/>
      </w:pPr>
      <w:r>
        <w:rPr>
          <w:rFonts w:ascii="Times New Roman" w:cs="Times New Roman" w:eastAsia="Times New Roman" w:hAnsi="Times New Roman"/>
          <w:sz w:val="24"/>
          <w:szCs w:val="24"/>
        </w:rPr>
        <w:t xml:space="preserve">(5) Participants who do not pass the theoretical examination but who fulfil the attendance requirement are granted the right to sit two supplementary examinations. Evaluation based on the supplementary examination is carried out in accordance with the third paragraph of Article 14 of this Directive. The Coordinator is responsible for the planning and conduct of the supplementary examinations.</w:t>
      </w:r>
    </w:p>
    <w:p>
      <w:pPr>
        <w:pStyle w:val="Heading1"/>
        <w:spacing w:after="60" w:before="360" w:line="276"/>
        <w:jc w:val="center"/>
        <w:outlineLvl w:val="0"/>
      </w:pPr>
      <w:r>
        <w:rPr>
          <w:rFonts w:ascii="Times New Roman" w:cs="Times New Roman" w:eastAsia="Times New Roman" w:hAnsi="Times New Roman"/>
          <w:b/>
          <w:bCs/>
          <w:sz w:val="24"/>
          <w:szCs w:val="24"/>
        </w:rPr>
        <w:t xml:space="preserve">CHAPTER FOUR</w:t>
      </w:r>
    </w:p>
    <w:p>
      <w:pPr>
        <w:spacing w:after="200" w:line="276"/>
        <w:jc w:val="center"/>
      </w:pPr>
      <w:r>
        <w:rPr>
          <w:rFonts w:ascii="Times New Roman" w:cs="Times New Roman" w:eastAsia="Times New Roman" w:hAnsi="Times New Roman"/>
          <w:b/>
          <w:bCs/>
          <w:sz w:val="24"/>
          <w:szCs w:val="24"/>
        </w:rPr>
        <w:t xml:space="preserve">Miscellaneous Provisions</w:t>
      </w:r>
    </w:p>
    <w:p>
      <w:pPr>
        <w:pStyle w:val="Heading2"/>
        <w:spacing w:after="60" w:before="240" w:line="276"/>
        <w:outlineLvl w:val="1"/>
      </w:pPr>
      <w:r>
        <w:rPr>
          <w:rFonts w:ascii="Times New Roman" w:cs="Times New Roman" w:eastAsia="Times New Roman" w:hAnsi="Times New Roman"/>
          <w:b/>
          <w:bCs/>
          <w:sz w:val="24"/>
          <w:szCs w:val="24"/>
        </w:rPr>
        <w:t xml:space="preserve">Entry into Force</w:t>
      </w:r>
    </w:p>
    <w:p>
      <w:pPr>
        <w:spacing w:after="120" w:line="276"/>
        <w:jc w:val="both"/>
      </w:pPr>
      <w:r>
        <w:rPr>
          <w:rFonts w:ascii="Times New Roman" w:cs="Times New Roman" w:eastAsia="Times New Roman" w:hAnsi="Times New Roman"/>
          <w:b/>
          <w:bCs/>
          <w:sz w:val="24"/>
          <w:szCs w:val="24"/>
        </w:rPr>
        <w:t xml:space="preserve">Article 15 –</w:t>
      </w:r>
      <w:r>
        <w:rPr>
          <w:rFonts w:ascii="Times New Roman" w:cs="Times New Roman" w:eastAsia="Times New Roman" w:hAnsi="Times New Roman"/>
          <w:sz w:val="24"/>
          <w:szCs w:val="24"/>
        </w:rPr>
        <w:t xml:space="preserve"> This Directive enters into force on the date of its adoption by the Senate.</w:t>
      </w:r>
    </w:p>
    <w:p>
      <w:pPr>
        <w:pStyle w:val="Heading2"/>
        <w:spacing w:after="60" w:before="240" w:line="276"/>
        <w:outlineLvl w:val="1"/>
      </w:pPr>
      <w:r>
        <w:rPr>
          <w:rFonts w:ascii="Times New Roman" w:cs="Times New Roman" w:eastAsia="Times New Roman" w:hAnsi="Times New Roman"/>
          <w:b/>
          <w:bCs/>
          <w:sz w:val="24"/>
          <w:szCs w:val="24"/>
        </w:rPr>
        <w:t xml:space="preserve">Execution</w:t>
      </w:r>
    </w:p>
    <w:p>
      <w:pPr>
        <w:spacing w:after="120" w:line="276"/>
        <w:jc w:val="both"/>
      </w:pPr>
      <w:r>
        <w:rPr>
          <w:rFonts w:ascii="Times New Roman" w:cs="Times New Roman" w:eastAsia="Times New Roman" w:hAnsi="Times New Roman"/>
          <w:b/>
          <w:bCs/>
          <w:sz w:val="24"/>
          <w:szCs w:val="24"/>
        </w:rPr>
        <w:t xml:space="preserve">Article 16 –</w:t>
      </w:r>
      <w:r>
        <w:rPr>
          <w:rFonts w:ascii="Times New Roman" w:cs="Times New Roman" w:eastAsia="Times New Roman" w:hAnsi="Times New Roman"/>
          <w:sz w:val="24"/>
          <w:szCs w:val="24"/>
        </w:rPr>
        <w:t xml:space="preserve"> The provisions of this Directive are executed by the Rector of Tokat Gaziosmanpaşa University.</w:t>
      </w:r>
    </w:p>
    <w:sectPr>
      <w:footerReference w:type="default" r:id="rId7"/>
      <w:pgSz w:w="11906" w:h="16838" w:orient="portrait"/>
      <w:pgMar w:top="1418" w:right="1418" w:bottom="1418"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rPr>
      <w:rFonts w:ascii="Times New Roman" w:cs="Times New Roman" w:eastAsia="Times New Roman" w:hAnsi="Times New Roman"/>
      <w:b/>
      <w:bCs/>
      <w:color w:val="000000"/>
      <w:sz w:val="24"/>
      <w:szCs w:val="24"/>
    </w:rPr>
  </w:style>
  <w:style w:type="paragraph" w:styleId="Heading2">
    <w:name w:val="Heading 2"/>
    <w:basedOn w:val="Normal"/>
    <w:next w:val="Normal"/>
    <w:rPr>
      <w:rFonts w:ascii="Times New Roman" w:cs="Times New Roman" w:eastAsia="Times New Roman" w:hAnsi="Times New Roman"/>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2026-09-11T12:55:15.518Z</dcterms:created>
  <dcterms:modified xsi:type="dcterms:W3CDTF">2026-09-11T12:55:15.530Z</dcterms:modified>
</cp:coreProperties>
</file>

<file path=docProps/custom.xml><?xml version="1.0" encoding="utf-8"?>
<Properties xmlns="http://schemas.openxmlformats.org/officeDocument/2006/custom-properties" xmlns:vt="http://schemas.openxmlformats.org/officeDocument/2006/docPropsVTypes"/>
</file>